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874A58">
        <w:rPr>
          <w:sz w:val="22"/>
          <w:szCs w:val="22"/>
        </w:rPr>
        <w:t xml:space="preserve">                               </w:t>
      </w:r>
    </w:p>
    <w:p w:rsidR="00134193" w:rsidRDefault="00134193" w:rsidP="00134193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134193" w:rsidRPr="00A96B7E" w:rsidRDefault="00134193" w:rsidP="00134193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</w:t>
      </w:r>
      <w:r>
        <w:t>33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134193" w:rsidRPr="00A96B7E" w:rsidTr="00522FAF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134193" w:rsidRPr="00A96B7E" w:rsidRDefault="00134193" w:rsidP="00B10D2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134193" w:rsidRPr="000F46DB" w:rsidRDefault="00134193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93" w:rsidRPr="0034094B" w:rsidRDefault="00134193" w:rsidP="003409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193">
              <w:rPr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>14-18/05/2018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D55537" w:rsidRPr="00A96B7E" w:rsidRDefault="00D55537" w:rsidP="00522FAF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55537" w:rsidRPr="00A96B7E" w:rsidRDefault="00D55537" w:rsidP="001341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34193">
              <w:rPr>
                <w:sz w:val="22"/>
                <w:szCs w:val="22"/>
              </w:rPr>
              <w:t>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 w:rsidR="0050371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522FAF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522FAF" w:rsidP="00522F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FESTIVALS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522FAF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522FAF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522FAF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A51" w:rsidRDefault="00B876E7" w:rsidP="00B876E7">
            <w:pPr>
              <w:rPr>
                <w:sz w:val="22"/>
                <w:szCs w:val="22"/>
              </w:rPr>
            </w:pPr>
            <w:r w:rsidRPr="00B876E7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B876E7">
              <w:rPr>
                <w:sz w:val="22"/>
                <w:szCs w:val="22"/>
              </w:rPr>
              <w:t>simple texts about festivals around the world.</w:t>
            </w:r>
          </w:p>
          <w:p w:rsidR="00B876E7" w:rsidRPr="0021230B" w:rsidRDefault="00B876E7" w:rsidP="00B876E7">
            <w:pPr>
              <w:rPr>
                <w:sz w:val="22"/>
                <w:szCs w:val="22"/>
              </w:rPr>
            </w:pPr>
            <w:r w:rsidRPr="00B876E7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B876E7">
              <w:rPr>
                <w:sz w:val="22"/>
                <w:szCs w:val="22"/>
              </w:rPr>
              <w:t>visually suppor</w:t>
            </w:r>
            <w:r>
              <w:rPr>
                <w:sz w:val="22"/>
                <w:szCs w:val="22"/>
              </w:rPr>
              <w:t xml:space="preserve">ted short texts about festivals </w:t>
            </w:r>
            <w:r w:rsidRPr="00B876E7">
              <w:rPr>
                <w:sz w:val="22"/>
                <w:szCs w:val="22"/>
              </w:rPr>
              <w:t>around the world.</w:t>
            </w:r>
          </w:p>
        </w:tc>
      </w:tr>
      <w:tr w:rsidR="00D55537" w:rsidRPr="00A96B7E" w:rsidTr="00522FAF">
        <w:trPr>
          <w:cantSplit/>
          <w:trHeight w:val="1449"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522FAF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94B" w:rsidRPr="0034094B" w:rsidRDefault="0034094B" w:rsidP="0034094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34094B">
              <w:rPr>
                <w:sz w:val="22"/>
                <w:szCs w:val="18"/>
              </w:rPr>
              <w:t>How does Ayşe celebrate Ramadan?</w:t>
            </w:r>
          </w:p>
          <w:p w:rsidR="0034094B" w:rsidRPr="0034094B" w:rsidRDefault="0034094B" w:rsidP="0034094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34094B">
              <w:rPr>
                <w:sz w:val="22"/>
                <w:szCs w:val="18"/>
              </w:rPr>
              <w:t>—She visits her relatives.</w:t>
            </w:r>
          </w:p>
          <w:p w:rsidR="0034094B" w:rsidRPr="0034094B" w:rsidRDefault="0034094B" w:rsidP="0034094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34094B">
              <w:rPr>
                <w:sz w:val="22"/>
                <w:szCs w:val="18"/>
              </w:rPr>
              <w:t>Childr</w:t>
            </w:r>
            <w:r>
              <w:rPr>
                <w:sz w:val="22"/>
                <w:szCs w:val="18"/>
              </w:rPr>
              <w:t xml:space="preserve">en dance and sing on Children’s </w:t>
            </w:r>
            <w:r w:rsidRPr="0034094B">
              <w:rPr>
                <w:sz w:val="22"/>
                <w:szCs w:val="18"/>
              </w:rPr>
              <w:t>Day in Turkey.</w:t>
            </w:r>
          </w:p>
          <w:p w:rsidR="00D55537" w:rsidRPr="00457165" w:rsidRDefault="0034094B" w:rsidP="0034094B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34094B">
              <w:rPr>
                <w:sz w:val="22"/>
                <w:szCs w:val="18"/>
              </w:rPr>
              <w:t>C</w:t>
            </w:r>
            <w:r>
              <w:rPr>
                <w:sz w:val="22"/>
                <w:szCs w:val="18"/>
              </w:rPr>
              <w:t xml:space="preserve">hinese wear colorful clothes in </w:t>
            </w:r>
            <w:r w:rsidRPr="0034094B">
              <w:rPr>
                <w:sz w:val="22"/>
                <w:szCs w:val="18"/>
              </w:rPr>
              <w:t>Chinese New Year.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35C92" w:rsidRDefault="003E0553" w:rsidP="00522F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522FAF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522F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</w:t>
            </w:r>
            <w:r w:rsidR="00530AF3"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  <w:p w:rsidR="00D55537" w:rsidRPr="00A96B7E" w:rsidRDefault="00D55537" w:rsidP="00CA7DF5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522F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522FA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7846DD" w:rsidRDefault="007846DD" w:rsidP="00CA7DF5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8A3942" w:rsidRPr="00FF2777" w:rsidRDefault="00731F38" w:rsidP="00FF2777">
            <w:pPr>
              <w:pStyle w:val="ListeParagraf"/>
              <w:numPr>
                <w:ilvl w:val="0"/>
                <w:numId w:val="5"/>
              </w:numP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731F3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asks the questions “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What are the national festivals in your country</w:t>
            </w:r>
            <w:proofErr w:type="gramStart"/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?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-</w:t>
            </w:r>
            <w:proofErr w:type="gramEnd"/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Which one is your favorite? Why?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” and elicits the answers.</w:t>
            </w:r>
            <w:r w:rsidR="00C06EA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Then the teacher wants students to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Match</w:t>
            </w:r>
            <w:proofErr w:type="gramEnd"/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 activities with the pictures. 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(p.158</w:t>
            </w:r>
            <w:r w:rsidR="00C54E7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Then the students r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ead the se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ntences and write True or False and c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orrect them if they are false.</w:t>
            </w:r>
          </w:p>
          <w:p w:rsidR="00D55537" w:rsidRPr="00AC2C2D" w:rsidRDefault="008A3942" w:rsidP="00FF27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tells students 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to r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ead the email. What is it about?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(p.159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</w:p>
          <w:p w:rsidR="0006294E" w:rsidRPr="0006294E" w:rsidRDefault="00731F38" w:rsidP="00FF27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students 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read the text and try to find </w:t>
            </w:r>
            <w:proofErr w:type="gramStart"/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What</w:t>
            </w:r>
            <w:proofErr w:type="gramEnd"/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text </w:t>
            </w:r>
            <w:r w:rsid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is about. Then the teacher tells students to r</w:t>
            </w:r>
            <w:r w:rsidR="00FF2777" w:rsidRPr="00FF2777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ead the text again and tick the activities people do on Chinese New Year.</w:t>
            </w:r>
            <w:r w:rsidR="00E547E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</w:t>
            </w:r>
            <w:r w:rsidR="00F14BD5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Then they read the text and answer the questions. </w:t>
            </w:r>
            <w:r w:rsidR="00E547E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(p.160)</w:t>
            </w:r>
          </w:p>
        </w:tc>
      </w:tr>
      <w:tr w:rsidR="00D55537" w:rsidRPr="00A96B7E" w:rsidTr="00522FAF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522FAF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16" w:rsidRPr="00AE0F16" w:rsidRDefault="00AE0F16" w:rsidP="00AE0F16">
            <w:pPr>
              <w:rPr>
                <w:sz w:val="22"/>
                <w:szCs w:val="22"/>
              </w:rPr>
            </w:pPr>
            <w:r w:rsidRPr="00AE0F16">
              <w:rPr>
                <w:sz w:val="22"/>
                <w:szCs w:val="22"/>
              </w:rPr>
              <w:t>Students will be able to understand simple texts about festivals around the world.</w:t>
            </w:r>
          </w:p>
          <w:p w:rsidR="00D55537" w:rsidRPr="00A96B7E" w:rsidRDefault="00AE0F16" w:rsidP="00AE0F16">
            <w:pPr>
              <w:rPr>
                <w:sz w:val="22"/>
                <w:szCs w:val="22"/>
              </w:rPr>
            </w:pPr>
            <w:r w:rsidRPr="00AE0F16">
              <w:rPr>
                <w:sz w:val="22"/>
                <w:szCs w:val="22"/>
              </w:rPr>
              <w:t>Students will be able to understand visually supported short texts about festivals around the world.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522FAF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522FAF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522FA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522FA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1A7789" w:rsidRDefault="00471347" w:rsidP="00522F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B30D92">
              <w:rPr>
                <w:sz w:val="22"/>
                <w:szCs w:val="22"/>
              </w:rPr>
              <w:t>ask questions.</w:t>
            </w:r>
          </w:p>
          <w:p w:rsidR="00471347" w:rsidRDefault="00471347" w:rsidP="00522F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AE0F16">
              <w:rPr>
                <w:sz w:val="22"/>
                <w:szCs w:val="22"/>
              </w:rPr>
              <w:t>answer the questions.</w:t>
            </w:r>
          </w:p>
          <w:p w:rsidR="00471347" w:rsidRDefault="00CB08AC" w:rsidP="00522F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B30D92">
              <w:rPr>
                <w:sz w:val="22"/>
                <w:szCs w:val="22"/>
              </w:rPr>
              <w:t>m</w:t>
            </w:r>
            <w:r w:rsidR="00B30D92" w:rsidRPr="00B30D92">
              <w:rPr>
                <w:sz w:val="22"/>
                <w:szCs w:val="22"/>
              </w:rPr>
              <w:t xml:space="preserve">atch the </w:t>
            </w:r>
            <w:r w:rsidR="00AE0F16">
              <w:rPr>
                <w:sz w:val="22"/>
                <w:szCs w:val="22"/>
              </w:rPr>
              <w:t>sentences</w:t>
            </w:r>
            <w:r w:rsidR="00B30D92" w:rsidRPr="00B30D92">
              <w:rPr>
                <w:sz w:val="22"/>
                <w:szCs w:val="22"/>
              </w:rPr>
              <w:t xml:space="preserve"> with the pictures</w:t>
            </w:r>
            <w:r w:rsidR="00B30D92">
              <w:rPr>
                <w:sz w:val="22"/>
                <w:szCs w:val="22"/>
              </w:rPr>
              <w:t>.</w:t>
            </w: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522FAF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522FAF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522FAF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522FAF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522FAF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522FAF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522FAF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E37343" w:rsidRDefault="00E37343"/>
    <w:p w:rsidR="00E37343" w:rsidRDefault="00E37343" w:rsidP="00E37343"/>
    <w:p w:rsidR="00134193" w:rsidRPr="00AF61D2" w:rsidRDefault="00134193" w:rsidP="00134193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 İngilizce Öğretmeni                                                                                                     Okul Müdürü</w:t>
      </w:r>
    </w:p>
    <w:p w:rsidR="00E37343" w:rsidRDefault="00E37343">
      <w:bookmarkStart w:id="0" w:name="_GoBack"/>
      <w:bookmarkEnd w:id="0"/>
    </w:p>
    <w:sectPr w:rsidR="00E37343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7"/>
    <w:multiLevelType w:val="hybridMultilevel"/>
    <w:tmpl w:val="6BB0DD62"/>
    <w:lvl w:ilvl="0" w:tplc="957E7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03B0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92E"/>
    <w:multiLevelType w:val="hybridMultilevel"/>
    <w:tmpl w:val="5C6A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6294E"/>
    <w:rsid w:val="000A5E60"/>
    <w:rsid w:val="000E028F"/>
    <w:rsid w:val="00134193"/>
    <w:rsid w:val="00134887"/>
    <w:rsid w:val="00151F23"/>
    <w:rsid w:val="00156C38"/>
    <w:rsid w:val="001A7789"/>
    <w:rsid w:val="0021230B"/>
    <w:rsid w:val="00320BBA"/>
    <w:rsid w:val="0032737E"/>
    <w:rsid w:val="0034094B"/>
    <w:rsid w:val="003A22C6"/>
    <w:rsid w:val="003E0553"/>
    <w:rsid w:val="003E48CE"/>
    <w:rsid w:val="00457165"/>
    <w:rsid w:val="00471347"/>
    <w:rsid w:val="004D4CCF"/>
    <w:rsid w:val="004E496F"/>
    <w:rsid w:val="004E7767"/>
    <w:rsid w:val="0050371C"/>
    <w:rsid w:val="0051273F"/>
    <w:rsid w:val="00522FAF"/>
    <w:rsid w:val="00530AF3"/>
    <w:rsid w:val="005E33E8"/>
    <w:rsid w:val="00636BD2"/>
    <w:rsid w:val="00645DCA"/>
    <w:rsid w:val="00657F7E"/>
    <w:rsid w:val="0066250C"/>
    <w:rsid w:val="0068417D"/>
    <w:rsid w:val="006A1671"/>
    <w:rsid w:val="006C6987"/>
    <w:rsid w:val="006E7433"/>
    <w:rsid w:val="00731F38"/>
    <w:rsid w:val="00754FE9"/>
    <w:rsid w:val="007614A1"/>
    <w:rsid w:val="007672A9"/>
    <w:rsid w:val="007846DD"/>
    <w:rsid w:val="00790FA5"/>
    <w:rsid w:val="00794B65"/>
    <w:rsid w:val="007C166C"/>
    <w:rsid w:val="007F7BC3"/>
    <w:rsid w:val="00833895"/>
    <w:rsid w:val="00854620"/>
    <w:rsid w:val="00874A58"/>
    <w:rsid w:val="008A3942"/>
    <w:rsid w:val="008B5631"/>
    <w:rsid w:val="008D30C5"/>
    <w:rsid w:val="008F6E41"/>
    <w:rsid w:val="00A16630"/>
    <w:rsid w:val="00A2645A"/>
    <w:rsid w:val="00A34DEA"/>
    <w:rsid w:val="00AC2C2D"/>
    <w:rsid w:val="00AE0F16"/>
    <w:rsid w:val="00B02C42"/>
    <w:rsid w:val="00B30D92"/>
    <w:rsid w:val="00B876E7"/>
    <w:rsid w:val="00BB6A43"/>
    <w:rsid w:val="00BF1A51"/>
    <w:rsid w:val="00C0491B"/>
    <w:rsid w:val="00C06EA8"/>
    <w:rsid w:val="00C1261B"/>
    <w:rsid w:val="00C414C5"/>
    <w:rsid w:val="00C54E7E"/>
    <w:rsid w:val="00C63F79"/>
    <w:rsid w:val="00C74BA6"/>
    <w:rsid w:val="00CA7DF5"/>
    <w:rsid w:val="00CB08AC"/>
    <w:rsid w:val="00CC3854"/>
    <w:rsid w:val="00D33FCF"/>
    <w:rsid w:val="00D5051B"/>
    <w:rsid w:val="00D55537"/>
    <w:rsid w:val="00D56C98"/>
    <w:rsid w:val="00D81EF9"/>
    <w:rsid w:val="00E37343"/>
    <w:rsid w:val="00E442B5"/>
    <w:rsid w:val="00E547E0"/>
    <w:rsid w:val="00E57DFC"/>
    <w:rsid w:val="00EA5BB4"/>
    <w:rsid w:val="00EB7950"/>
    <w:rsid w:val="00EC6060"/>
    <w:rsid w:val="00EE6520"/>
    <w:rsid w:val="00F14BD5"/>
    <w:rsid w:val="00F22336"/>
    <w:rsid w:val="00FA307C"/>
    <w:rsid w:val="00FC4463"/>
    <w:rsid w:val="00FD5676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 Demethoca</dc:creator>
  <cp:keywords>demet</cp:keywords>
  <dc:description/>
  <cp:lastModifiedBy>Windows User</cp:lastModifiedBy>
  <cp:revision>73</cp:revision>
  <dcterms:created xsi:type="dcterms:W3CDTF">2017-10-04T10:23:00Z</dcterms:created>
  <dcterms:modified xsi:type="dcterms:W3CDTF">2018-05-13T18:06:00Z</dcterms:modified>
  <cp:category>gp</cp:category>
</cp:coreProperties>
</file>